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A1CFA">
      <w:pPr>
        <w:pStyle w:val="4"/>
        <w:spacing w:line="6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6. </w:t>
      </w:r>
      <w:bookmarkStart w:id="2" w:name="_GoBack"/>
      <w:r>
        <w:rPr>
          <w:rFonts w:hint="eastAsia" w:ascii="宋体" w:hAnsi="宋体" w:eastAsia="宋体" w:cs="宋体"/>
          <w:b/>
          <w:color w:val="auto"/>
          <w:sz w:val="32"/>
          <w:szCs w:val="32"/>
          <w:highlight w:val="none"/>
        </w:rPr>
        <w:t>拟委任的项目人员证明材料</w:t>
      </w:r>
      <w:bookmarkEnd w:id="2"/>
    </w:p>
    <w:p w14:paraId="28BB4952">
      <w:pPr>
        <w:pStyle w:val="4"/>
        <w:spacing w:line="240" w:lineRule="auto"/>
        <w:ind w:firstLine="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r>
        <w:rPr>
          <w:rFonts w:hint="eastAsia" w:ascii="宋体" w:hAnsi="宋体" w:eastAsia="宋体" w:cs="宋体"/>
          <w:color w:val="auto"/>
          <w:szCs w:val="21"/>
          <w:highlight w:val="none"/>
          <w:lang w:eastAsia="zh-CN"/>
        </w:rPr>
        <w:t>2025年泉南高速泉州段隧道病害处治工程施工协作队伍选择</w:t>
      </w:r>
    </w:p>
    <w:p w14:paraId="608AD988">
      <w:pPr>
        <w:pStyle w:val="4"/>
        <w:spacing w:line="240" w:lineRule="auto"/>
        <w:ind w:firstLine="0"/>
        <w:jc w:val="left"/>
        <w:rPr>
          <w:rFonts w:hint="eastAsia" w:ascii="宋体" w:hAnsi="宋体" w:eastAsia="宋体" w:cs="宋体"/>
          <w:color w:val="auto"/>
          <w:szCs w:val="21"/>
          <w:highlight w:val="none"/>
          <w:u w:val="singl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49"/>
        <w:gridCol w:w="1180"/>
        <w:gridCol w:w="1963"/>
        <w:gridCol w:w="2125"/>
        <w:gridCol w:w="1256"/>
      </w:tblGrid>
      <w:tr w14:paraId="7464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7" w:type="dxa"/>
            <w:noWrap w:val="0"/>
            <w:vAlign w:val="center"/>
          </w:tcPr>
          <w:p w14:paraId="339A6DC5">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449" w:type="dxa"/>
            <w:noWrap w:val="0"/>
            <w:vAlign w:val="center"/>
          </w:tcPr>
          <w:p w14:paraId="7CFE51A4">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岗位或工种</w:t>
            </w:r>
          </w:p>
        </w:tc>
        <w:tc>
          <w:tcPr>
            <w:tcW w:w="1180" w:type="dxa"/>
            <w:noWrap w:val="0"/>
            <w:vAlign w:val="center"/>
          </w:tcPr>
          <w:p w14:paraId="29B7F214">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63" w:type="dxa"/>
            <w:noWrap w:val="0"/>
            <w:vAlign w:val="center"/>
          </w:tcPr>
          <w:p w14:paraId="61D752D1">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身份证号</w:t>
            </w:r>
          </w:p>
        </w:tc>
        <w:tc>
          <w:tcPr>
            <w:tcW w:w="2125" w:type="dxa"/>
            <w:noWrap w:val="0"/>
            <w:vAlign w:val="center"/>
          </w:tcPr>
          <w:p w14:paraId="18C02C6F">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证书及编号</w:t>
            </w:r>
          </w:p>
        </w:tc>
        <w:tc>
          <w:tcPr>
            <w:tcW w:w="1256" w:type="dxa"/>
            <w:noWrap w:val="0"/>
            <w:vAlign w:val="center"/>
          </w:tcPr>
          <w:p w14:paraId="2822423E">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EFE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noWrap w:val="0"/>
            <w:vAlign w:val="center"/>
          </w:tcPr>
          <w:p w14:paraId="71ED5DB9">
            <w:pPr>
              <w:adjustRightInd w:val="0"/>
              <w:snapToGrid w:val="0"/>
              <w:spacing w:line="360" w:lineRule="auto"/>
              <w:jc w:val="center"/>
              <w:rPr>
                <w:rFonts w:hint="eastAsia" w:ascii="宋体" w:hAnsi="宋体" w:eastAsia="宋体" w:cs="宋体"/>
                <w:color w:val="auto"/>
                <w:szCs w:val="21"/>
                <w:highlight w:val="none"/>
              </w:rPr>
            </w:pPr>
          </w:p>
        </w:tc>
        <w:tc>
          <w:tcPr>
            <w:tcW w:w="1449" w:type="dxa"/>
            <w:noWrap w:val="0"/>
            <w:vAlign w:val="center"/>
          </w:tcPr>
          <w:p w14:paraId="26E3C7DE">
            <w:pPr>
              <w:adjustRightInd w:val="0"/>
              <w:snapToGrid w:val="0"/>
              <w:spacing w:line="360" w:lineRule="auto"/>
              <w:jc w:val="center"/>
              <w:rPr>
                <w:rFonts w:hint="eastAsia" w:ascii="宋体" w:hAnsi="宋体" w:eastAsia="宋体" w:cs="宋体"/>
                <w:color w:val="auto"/>
                <w:szCs w:val="21"/>
                <w:highlight w:val="none"/>
              </w:rPr>
            </w:pPr>
          </w:p>
        </w:tc>
        <w:tc>
          <w:tcPr>
            <w:tcW w:w="1180" w:type="dxa"/>
            <w:noWrap w:val="0"/>
            <w:vAlign w:val="center"/>
          </w:tcPr>
          <w:p w14:paraId="2E51CB71">
            <w:pPr>
              <w:adjustRightInd w:val="0"/>
              <w:snapToGrid w:val="0"/>
              <w:spacing w:line="360" w:lineRule="auto"/>
              <w:jc w:val="center"/>
              <w:rPr>
                <w:rFonts w:hint="eastAsia" w:ascii="宋体" w:hAnsi="宋体" w:eastAsia="宋体" w:cs="宋体"/>
                <w:color w:val="auto"/>
                <w:szCs w:val="21"/>
                <w:highlight w:val="none"/>
              </w:rPr>
            </w:pPr>
          </w:p>
        </w:tc>
        <w:tc>
          <w:tcPr>
            <w:tcW w:w="1963" w:type="dxa"/>
            <w:noWrap w:val="0"/>
            <w:vAlign w:val="center"/>
          </w:tcPr>
          <w:p w14:paraId="0925571D">
            <w:pPr>
              <w:adjustRightInd w:val="0"/>
              <w:snapToGrid w:val="0"/>
              <w:spacing w:line="360" w:lineRule="auto"/>
              <w:jc w:val="center"/>
              <w:rPr>
                <w:rFonts w:hint="eastAsia" w:ascii="宋体" w:hAnsi="宋体" w:eastAsia="宋体" w:cs="宋体"/>
                <w:color w:val="auto"/>
                <w:szCs w:val="21"/>
                <w:highlight w:val="none"/>
              </w:rPr>
            </w:pPr>
          </w:p>
        </w:tc>
        <w:tc>
          <w:tcPr>
            <w:tcW w:w="2125" w:type="dxa"/>
            <w:noWrap w:val="0"/>
            <w:vAlign w:val="center"/>
          </w:tcPr>
          <w:p w14:paraId="48535DFD">
            <w:pPr>
              <w:adjustRightInd w:val="0"/>
              <w:snapToGrid w:val="0"/>
              <w:spacing w:line="360" w:lineRule="auto"/>
              <w:jc w:val="center"/>
              <w:rPr>
                <w:rFonts w:hint="eastAsia" w:ascii="宋体" w:hAnsi="宋体" w:eastAsia="宋体" w:cs="宋体"/>
                <w:color w:val="auto"/>
                <w:szCs w:val="21"/>
                <w:highlight w:val="none"/>
              </w:rPr>
            </w:pPr>
          </w:p>
        </w:tc>
        <w:tc>
          <w:tcPr>
            <w:tcW w:w="1256" w:type="dxa"/>
            <w:noWrap w:val="0"/>
            <w:vAlign w:val="center"/>
          </w:tcPr>
          <w:p w14:paraId="701DD039">
            <w:pPr>
              <w:adjustRightInd w:val="0"/>
              <w:snapToGrid w:val="0"/>
              <w:spacing w:line="360" w:lineRule="auto"/>
              <w:jc w:val="center"/>
              <w:rPr>
                <w:rFonts w:hint="eastAsia" w:ascii="宋体" w:hAnsi="宋体" w:eastAsia="宋体" w:cs="宋体"/>
                <w:color w:val="auto"/>
                <w:szCs w:val="21"/>
                <w:highlight w:val="none"/>
              </w:rPr>
            </w:pPr>
          </w:p>
        </w:tc>
      </w:tr>
      <w:tr w14:paraId="00F0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7" w:type="dxa"/>
            <w:noWrap w:val="0"/>
            <w:vAlign w:val="center"/>
          </w:tcPr>
          <w:p w14:paraId="5654D16E">
            <w:pPr>
              <w:adjustRightInd w:val="0"/>
              <w:snapToGrid w:val="0"/>
              <w:spacing w:line="360" w:lineRule="auto"/>
              <w:jc w:val="center"/>
              <w:rPr>
                <w:rFonts w:hint="eastAsia" w:ascii="宋体" w:hAnsi="宋体" w:eastAsia="宋体" w:cs="宋体"/>
                <w:color w:val="auto"/>
                <w:szCs w:val="21"/>
                <w:highlight w:val="none"/>
              </w:rPr>
            </w:pPr>
          </w:p>
        </w:tc>
        <w:tc>
          <w:tcPr>
            <w:tcW w:w="1449" w:type="dxa"/>
            <w:noWrap w:val="0"/>
            <w:vAlign w:val="center"/>
          </w:tcPr>
          <w:p w14:paraId="6EA4B2F7">
            <w:pPr>
              <w:adjustRightInd w:val="0"/>
              <w:snapToGrid w:val="0"/>
              <w:spacing w:line="360" w:lineRule="auto"/>
              <w:jc w:val="center"/>
              <w:rPr>
                <w:rFonts w:hint="eastAsia" w:ascii="宋体" w:hAnsi="宋体" w:eastAsia="宋体" w:cs="宋体"/>
                <w:color w:val="auto"/>
                <w:szCs w:val="21"/>
                <w:highlight w:val="none"/>
              </w:rPr>
            </w:pPr>
          </w:p>
        </w:tc>
        <w:tc>
          <w:tcPr>
            <w:tcW w:w="1180" w:type="dxa"/>
            <w:noWrap w:val="0"/>
            <w:vAlign w:val="center"/>
          </w:tcPr>
          <w:p w14:paraId="576A89F0">
            <w:pPr>
              <w:adjustRightInd w:val="0"/>
              <w:snapToGrid w:val="0"/>
              <w:spacing w:line="360" w:lineRule="auto"/>
              <w:jc w:val="center"/>
              <w:rPr>
                <w:rFonts w:hint="eastAsia" w:ascii="宋体" w:hAnsi="宋体" w:eastAsia="宋体" w:cs="宋体"/>
                <w:color w:val="auto"/>
                <w:szCs w:val="21"/>
                <w:highlight w:val="none"/>
              </w:rPr>
            </w:pPr>
          </w:p>
        </w:tc>
        <w:tc>
          <w:tcPr>
            <w:tcW w:w="1963" w:type="dxa"/>
            <w:noWrap w:val="0"/>
            <w:vAlign w:val="center"/>
          </w:tcPr>
          <w:p w14:paraId="56AAE489">
            <w:pPr>
              <w:adjustRightInd w:val="0"/>
              <w:snapToGrid w:val="0"/>
              <w:spacing w:line="360" w:lineRule="auto"/>
              <w:jc w:val="center"/>
              <w:rPr>
                <w:rFonts w:hint="eastAsia" w:ascii="宋体" w:hAnsi="宋体" w:eastAsia="宋体" w:cs="宋体"/>
                <w:color w:val="auto"/>
                <w:szCs w:val="21"/>
                <w:highlight w:val="none"/>
              </w:rPr>
            </w:pPr>
          </w:p>
        </w:tc>
        <w:tc>
          <w:tcPr>
            <w:tcW w:w="2125" w:type="dxa"/>
            <w:noWrap w:val="0"/>
            <w:vAlign w:val="center"/>
          </w:tcPr>
          <w:p w14:paraId="3FDDD576">
            <w:pPr>
              <w:adjustRightInd w:val="0"/>
              <w:snapToGrid w:val="0"/>
              <w:spacing w:line="360" w:lineRule="auto"/>
              <w:jc w:val="center"/>
              <w:rPr>
                <w:rFonts w:hint="eastAsia" w:ascii="宋体" w:hAnsi="宋体" w:eastAsia="宋体" w:cs="宋体"/>
                <w:color w:val="auto"/>
                <w:szCs w:val="21"/>
                <w:highlight w:val="none"/>
              </w:rPr>
            </w:pPr>
          </w:p>
        </w:tc>
        <w:tc>
          <w:tcPr>
            <w:tcW w:w="1256" w:type="dxa"/>
            <w:noWrap w:val="0"/>
            <w:vAlign w:val="center"/>
          </w:tcPr>
          <w:p w14:paraId="3F1418FC">
            <w:pPr>
              <w:adjustRightInd w:val="0"/>
              <w:snapToGrid w:val="0"/>
              <w:spacing w:line="360" w:lineRule="auto"/>
              <w:jc w:val="center"/>
              <w:rPr>
                <w:rFonts w:hint="eastAsia" w:ascii="宋体" w:hAnsi="宋体" w:eastAsia="宋体" w:cs="宋体"/>
                <w:color w:val="auto"/>
                <w:szCs w:val="21"/>
                <w:highlight w:val="none"/>
              </w:rPr>
            </w:pPr>
          </w:p>
        </w:tc>
      </w:tr>
      <w:tr w14:paraId="1B5B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noWrap w:val="0"/>
            <w:vAlign w:val="center"/>
          </w:tcPr>
          <w:p w14:paraId="67E15D99">
            <w:pPr>
              <w:adjustRightInd w:val="0"/>
              <w:snapToGrid w:val="0"/>
              <w:spacing w:line="360" w:lineRule="auto"/>
              <w:jc w:val="center"/>
              <w:rPr>
                <w:rFonts w:hint="eastAsia" w:ascii="宋体" w:hAnsi="宋体" w:eastAsia="宋体" w:cs="宋体"/>
                <w:color w:val="auto"/>
                <w:szCs w:val="21"/>
                <w:highlight w:val="none"/>
              </w:rPr>
            </w:pPr>
          </w:p>
        </w:tc>
        <w:tc>
          <w:tcPr>
            <w:tcW w:w="1449" w:type="dxa"/>
            <w:noWrap w:val="0"/>
            <w:vAlign w:val="center"/>
          </w:tcPr>
          <w:p w14:paraId="122F0E77">
            <w:pPr>
              <w:adjustRightInd w:val="0"/>
              <w:snapToGrid w:val="0"/>
              <w:spacing w:line="360" w:lineRule="auto"/>
              <w:jc w:val="center"/>
              <w:rPr>
                <w:rFonts w:hint="eastAsia" w:ascii="宋体" w:hAnsi="宋体" w:eastAsia="宋体" w:cs="宋体"/>
                <w:color w:val="auto"/>
                <w:szCs w:val="21"/>
                <w:highlight w:val="none"/>
              </w:rPr>
            </w:pPr>
          </w:p>
        </w:tc>
        <w:tc>
          <w:tcPr>
            <w:tcW w:w="1180" w:type="dxa"/>
            <w:noWrap w:val="0"/>
            <w:vAlign w:val="center"/>
          </w:tcPr>
          <w:p w14:paraId="64CAB586">
            <w:pPr>
              <w:adjustRightInd w:val="0"/>
              <w:snapToGrid w:val="0"/>
              <w:spacing w:line="360" w:lineRule="auto"/>
              <w:jc w:val="center"/>
              <w:rPr>
                <w:rFonts w:hint="eastAsia" w:ascii="宋体" w:hAnsi="宋体" w:eastAsia="宋体" w:cs="宋体"/>
                <w:color w:val="auto"/>
                <w:szCs w:val="21"/>
                <w:highlight w:val="none"/>
              </w:rPr>
            </w:pPr>
          </w:p>
        </w:tc>
        <w:tc>
          <w:tcPr>
            <w:tcW w:w="1963" w:type="dxa"/>
            <w:noWrap w:val="0"/>
            <w:vAlign w:val="center"/>
          </w:tcPr>
          <w:p w14:paraId="6F8A7965">
            <w:pPr>
              <w:adjustRightInd w:val="0"/>
              <w:snapToGrid w:val="0"/>
              <w:spacing w:line="360" w:lineRule="auto"/>
              <w:jc w:val="center"/>
              <w:rPr>
                <w:rFonts w:hint="eastAsia" w:ascii="宋体" w:hAnsi="宋体" w:eastAsia="宋体" w:cs="宋体"/>
                <w:color w:val="auto"/>
                <w:szCs w:val="21"/>
                <w:highlight w:val="none"/>
              </w:rPr>
            </w:pPr>
          </w:p>
        </w:tc>
        <w:tc>
          <w:tcPr>
            <w:tcW w:w="2125" w:type="dxa"/>
            <w:noWrap w:val="0"/>
            <w:vAlign w:val="center"/>
          </w:tcPr>
          <w:p w14:paraId="376DA1FD">
            <w:pPr>
              <w:adjustRightInd w:val="0"/>
              <w:snapToGrid w:val="0"/>
              <w:spacing w:line="360" w:lineRule="auto"/>
              <w:jc w:val="center"/>
              <w:rPr>
                <w:rFonts w:hint="eastAsia" w:ascii="宋体" w:hAnsi="宋体" w:eastAsia="宋体" w:cs="宋体"/>
                <w:color w:val="auto"/>
                <w:szCs w:val="21"/>
                <w:highlight w:val="none"/>
              </w:rPr>
            </w:pPr>
          </w:p>
        </w:tc>
        <w:tc>
          <w:tcPr>
            <w:tcW w:w="1256" w:type="dxa"/>
            <w:noWrap w:val="0"/>
            <w:vAlign w:val="center"/>
          </w:tcPr>
          <w:p w14:paraId="1C2F646B">
            <w:pPr>
              <w:adjustRightInd w:val="0"/>
              <w:snapToGrid w:val="0"/>
              <w:spacing w:line="360" w:lineRule="auto"/>
              <w:jc w:val="center"/>
              <w:rPr>
                <w:rFonts w:hint="eastAsia" w:ascii="宋体" w:hAnsi="宋体" w:eastAsia="宋体" w:cs="宋体"/>
                <w:color w:val="auto"/>
                <w:szCs w:val="21"/>
                <w:highlight w:val="none"/>
              </w:rPr>
            </w:pPr>
          </w:p>
        </w:tc>
      </w:tr>
      <w:tr w14:paraId="7860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noWrap w:val="0"/>
            <w:vAlign w:val="center"/>
          </w:tcPr>
          <w:p w14:paraId="7C29B52B">
            <w:pPr>
              <w:adjustRightInd w:val="0"/>
              <w:snapToGrid w:val="0"/>
              <w:spacing w:line="360" w:lineRule="auto"/>
              <w:jc w:val="center"/>
              <w:rPr>
                <w:rFonts w:hint="eastAsia" w:ascii="宋体" w:hAnsi="宋体" w:eastAsia="宋体" w:cs="宋体"/>
                <w:color w:val="auto"/>
                <w:szCs w:val="21"/>
                <w:highlight w:val="none"/>
              </w:rPr>
            </w:pPr>
          </w:p>
        </w:tc>
        <w:tc>
          <w:tcPr>
            <w:tcW w:w="1449" w:type="dxa"/>
            <w:noWrap w:val="0"/>
            <w:vAlign w:val="center"/>
          </w:tcPr>
          <w:p w14:paraId="3832581B">
            <w:pPr>
              <w:adjustRightInd w:val="0"/>
              <w:snapToGrid w:val="0"/>
              <w:spacing w:line="360" w:lineRule="auto"/>
              <w:jc w:val="center"/>
              <w:rPr>
                <w:rFonts w:hint="eastAsia" w:ascii="宋体" w:hAnsi="宋体" w:eastAsia="宋体" w:cs="宋体"/>
                <w:color w:val="auto"/>
                <w:szCs w:val="21"/>
                <w:highlight w:val="none"/>
              </w:rPr>
            </w:pPr>
          </w:p>
        </w:tc>
        <w:tc>
          <w:tcPr>
            <w:tcW w:w="1180" w:type="dxa"/>
            <w:noWrap w:val="0"/>
            <w:vAlign w:val="center"/>
          </w:tcPr>
          <w:p w14:paraId="657457EE">
            <w:pPr>
              <w:adjustRightInd w:val="0"/>
              <w:snapToGrid w:val="0"/>
              <w:spacing w:line="360" w:lineRule="auto"/>
              <w:jc w:val="center"/>
              <w:rPr>
                <w:rFonts w:hint="eastAsia" w:ascii="宋体" w:hAnsi="宋体" w:eastAsia="宋体" w:cs="宋体"/>
                <w:color w:val="auto"/>
                <w:szCs w:val="21"/>
                <w:highlight w:val="none"/>
              </w:rPr>
            </w:pPr>
          </w:p>
        </w:tc>
        <w:tc>
          <w:tcPr>
            <w:tcW w:w="1963" w:type="dxa"/>
            <w:noWrap w:val="0"/>
            <w:vAlign w:val="center"/>
          </w:tcPr>
          <w:p w14:paraId="5DDC6E8B">
            <w:pPr>
              <w:adjustRightInd w:val="0"/>
              <w:snapToGrid w:val="0"/>
              <w:spacing w:line="360" w:lineRule="auto"/>
              <w:jc w:val="center"/>
              <w:rPr>
                <w:rFonts w:hint="eastAsia" w:ascii="宋体" w:hAnsi="宋体" w:eastAsia="宋体" w:cs="宋体"/>
                <w:color w:val="auto"/>
                <w:szCs w:val="21"/>
                <w:highlight w:val="none"/>
              </w:rPr>
            </w:pPr>
          </w:p>
        </w:tc>
        <w:tc>
          <w:tcPr>
            <w:tcW w:w="2125" w:type="dxa"/>
            <w:noWrap w:val="0"/>
            <w:vAlign w:val="center"/>
          </w:tcPr>
          <w:p w14:paraId="19105A42">
            <w:pPr>
              <w:adjustRightInd w:val="0"/>
              <w:snapToGrid w:val="0"/>
              <w:spacing w:line="360" w:lineRule="auto"/>
              <w:jc w:val="center"/>
              <w:rPr>
                <w:rFonts w:hint="eastAsia" w:ascii="宋体" w:hAnsi="宋体" w:eastAsia="宋体" w:cs="宋体"/>
                <w:color w:val="auto"/>
                <w:szCs w:val="21"/>
                <w:highlight w:val="none"/>
              </w:rPr>
            </w:pPr>
          </w:p>
        </w:tc>
        <w:tc>
          <w:tcPr>
            <w:tcW w:w="1256" w:type="dxa"/>
            <w:noWrap w:val="0"/>
            <w:vAlign w:val="center"/>
          </w:tcPr>
          <w:p w14:paraId="5A879EEA">
            <w:pPr>
              <w:adjustRightInd w:val="0"/>
              <w:snapToGrid w:val="0"/>
              <w:spacing w:line="360" w:lineRule="auto"/>
              <w:jc w:val="center"/>
              <w:rPr>
                <w:rFonts w:hint="eastAsia" w:ascii="宋体" w:hAnsi="宋体" w:eastAsia="宋体" w:cs="宋体"/>
                <w:color w:val="auto"/>
                <w:szCs w:val="21"/>
                <w:highlight w:val="none"/>
              </w:rPr>
            </w:pPr>
          </w:p>
        </w:tc>
      </w:tr>
    </w:tbl>
    <w:p w14:paraId="5F73EE27">
      <w:pPr>
        <w:pStyle w:val="4"/>
        <w:spacing w:line="240" w:lineRule="auto"/>
        <w:ind w:firstLine="0"/>
        <w:jc w:val="left"/>
        <w:rPr>
          <w:rFonts w:hint="eastAsia" w:ascii="宋体" w:hAnsi="宋体" w:eastAsia="宋体" w:cs="宋体"/>
          <w:color w:val="auto"/>
          <w:szCs w:val="21"/>
          <w:highlight w:val="none"/>
        </w:rPr>
      </w:pPr>
    </w:p>
    <w:p w14:paraId="214652A1">
      <w:pPr>
        <w:pStyle w:val="4"/>
        <w:spacing w:line="240" w:lineRule="auto"/>
        <w:ind w:firstLine="0"/>
        <w:jc w:val="left"/>
        <w:rPr>
          <w:rFonts w:hint="eastAsia" w:ascii="宋体" w:hAnsi="宋体" w:eastAsia="宋体" w:cs="宋体"/>
          <w:b/>
          <w:bCs/>
          <w:color w:val="auto"/>
          <w:szCs w:val="21"/>
          <w:highlight w:val="none"/>
          <w:u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报价人应至少提供</w:t>
      </w:r>
      <w:r>
        <w:rPr>
          <w:rFonts w:hint="eastAsia" w:ascii="宋体" w:hAnsi="宋体" w:eastAsia="宋体" w:cs="宋体"/>
          <w:color w:val="auto"/>
          <w:szCs w:val="21"/>
          <w:highlight w:val="none"/>
          <w:u w:val="single"/>
          <w:lang w:val="en-US" w:eastAsia="zh-CN"/>
        </w:rPr>
        <w:t>桥隧工程</w:t>
      </w:r>
      <w:r>
        <w:rPr>
          <w:rFonts w:hint="eastAsia" w:ascii="宋体" w:hAnsi="宋体" w:eastAsia="宋体" w:cs="宋体"/>
          <w:color w:val="auto"/>
          <w:szCs w:val="21"/>
          <w:highlight w:val="none"/>
        </w:rPr>
        <w:t>相关专业</w:t>
      </w:r>
      <w:r>
        <w:rPr>
          <w:rFonts w:hint="eastAsia" w:ascii="宋体" w:hAnsi="宋体" w:eastAsia="宋体" w:cs="宋体"/>
          <w:color w:val="auto"/>
          <w:szCs w:val="21"/>
          <w:highlight w:val="none"/>
          <w:lang w:eastAsia="zh-CN"/>
        </w:rPr>
        <w:t>工程师</w:t>
      </w:r>
      <w:r>
        <w:rPr>
          <w:rFonts w:hint="eastAsia" w:ascii="宋体" w:hAnsi="宋体" w:eastAsia="宋体" w:cs="宋体"/>
          <w:color w:val="auto"/>
          <w:szCs w:val="21"/>
          <w:highlight w:val="none"/>
        </w:rPr>
        <w:t>及以上的专业职称的现场负责人</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名，至少提</w:t>
      </w:r>
      <w:r>
        <w:rPr>
          <w:rFonts w:hint="eastAsia" w:ascii="宋体" w:hAnsi="宋体" w:eastAsia="宋体" w:cs="宋体"/>
          <w:color w:val="auto"/>
          <w:szCs w:val="21"/>
          <w:highlight w:val="none"/>
          <w:u w:val="none"/>
        </w:rPr>
        <w:t>供交通主管部门颁发的安全生产考核合格证书C证专职安全员</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名。</w:t>
      </w:r>
    </w:p>
    <w:p w14:paraId="4197C295">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outlineLvl w:val="1"/>
        <w:rPr>
          <w:rFonts w:hint="eastAsia" w:ascii="宋体" w:hAnsi="宋体" w:eastAsia="宋体" w:cs="宋体"/>
          <w:color w:val="auto"/>
          <w:szCs w:val="24"/>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szCs w:val="21"/>
          <w:highlight w:val="none"/>
        </w:rPr>
        <w:t>拟委任的</w:t>
      </w:r>
      <w:bookmarkStart w:id="0" w:name="OLE_LINK56"/>
      <w:r>
        <w:rPr>
          <w:rFonts w:hint="eastAsia" w:ascii="宋体" w:hAnsi="宋体" w:eastAsia="宋体" w:cs="宋体"/>
          <w:color w:val="auto"/>
          <w:szCs w:val="21"/>
          <w:highlight w:val="none"/>
        </w:rPr>
        <w:t>主要从业人员</w:t>
      </w:r>
      <w:bookmarkEnd w:id="0"/>
      <w:r>
        <w:rPr>
          <w:rFonts w:hint="eastAsia" w:ascii="宋体" w:hAnsi="宋体" w:eastAsia="宋体" w:cs="宋体"/>
          <w:color w:val="auto"/>
          <w:szCs w:val="21"/>
          <w:highlight w:val="none"/>
        </w:rPr>
        <w:t>（</w:t>
      </w:r>
      <w:bookmarkStart w:id="1" w:name="OLE_LINK11"/>
      <w:r>
        <w:rPr>
          <w:rFonts w:hint="eastAsia" w:ascii="宋体" w:hAnsi="宋体" w:eastAsia="宋体" w:cs="宋体"/>
          <w:color w:val="auto"/>
          <w:szCs w:val="21"/>
          <w:highlight w:val="none"/>
        </w:rPr>
        <w:t>现场负责人</w:t>
      </w:r>
      <w:bookmarkEnd w:id="1"/>
      <w:r>
        <w:rPr>
          <w:rFonts w:hint="eastAsia" w:ascii="宋体" w:hAnsi="宋体" w:eastAsia="宋体" w:cs="宋体"/>
          <w:color w:val="auto"/>
          <w:szCs w:val="21"/>
          <w:highlight w:val="none"/>
        </w:rPr>
        <w:t>）应附件身份证复印件、职称资格证书、本单位为主要从业人员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现场负责人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在社保管理部门缴交社保费证明（在响应文件递交截止日之前的三个月内出具的且自出具当日之前缴交时间连续六个月或以上）。</w:t>
      </w:r>
    </w:p>
    <w:p w14:paraId="5D15A08A">
      <w:pPr>
        <w:pStyle w:val="4"/>
        <w:keepNext w:val="0"/>
        <w:keepLines w:val="0"/>
        <w:pageBreakBefore w:val="0"/>
        <w:widowControl w:val="0"/>
        <w:kinsoku/>
        <w:wordWrap/>
        <w:overflowPunct/>
        <w:topLinePunct w:val="0"/>
        <w:autoSpaceDE/>
        <w:autoSpaceDN/>
        <w:bidi w:val="0"/>
        <w:spacing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3.拟委任的专职安全员应附件身份证复印件、</w:t>
      </w:r>
      <w:r>
        <w:rPr>
          <w:rFonts w:hint="eastAsia" w:ascii="宋体" w:hAnsi="宋体" w:cs="宋体"/>
          <w:color w:val="auto"/>
          <w:szCs w:val="21"/>
          <w:highlight w:val="none"/>
          <w:lang w:val="en-US" w:eastAsia="zh-CN"/>
        </w:rPr>
        <w:t>交通</w:t>
      </w:r>
      <w:r>
        <w:rPr>
          <w:rFonts w:hint="eastAsia" w:ascii="宋体" w:hAnsi="宋体" w:eastAsia="宋体" w:cs="宋体"/>
          <w:color w:val="auto"/>
          <w:szCs w:val="21"/>
          <w:highlight w:val="none"/>
        </w:rPr>
        <w:t>主管部门颁发的安全生产考核合格证书C证、本单位为专职安全员在社保管理部门缴交社保费证明（在响应文件递交截止日之前的三个月内出具的且自出具当日之前缴交时间连续六个月或以上）或劳务合同等相关证明材料。</w:t>
      </w:r>
    </w:p>
    <w:p w14:paraId="2B7F97B7">
      <w:pPr>
        <w:pStyle w:val="5"/>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4.未按要求附件相关证明材料的，其响应文件将被否决。</w:t>
      </w:r>
    </w:p>
    <w:p w14:paraId="0F0712F1">
      <w:pPr>
        <w:spacing w:line="360" w:lineRule="exact"/>
        <w:jc w:val="right"/>
        <w:rPr>
          <w:rFonts w:hint="eastAsia" w:ascii="宋体" w:hAnsi="宋体" w:eastAsia="宋体" w:cs="宋体"/>
          <w:color w:val="auto"/>
          <w:kern w:val="0"/>
          <w:sz w:val="18"/>
          <w:szCs w:val="18"/>
          <w:highlight w:val="none"/>
        </w:rPr>
      </w:pPr>
    </w:p>
    <w:p w14:paraId="0B01887F">
      <w:pPr>
        <w:spacing w:line="360" w:lineRule="exact"/>
        <w:jc w:val="right"/>
        <w:rPr>
          <w:rFonts w:hint="eastAsia" w:ascii="宋体" w:hAnsi="宋体" w:eastAsia="宋体" w:cs="宋体"/>
          <w:color w:val="auto"/>
          <w:kern w:val="0"/>
          <w:sz w:val="18"/>
          <w:szCs w:val="18"/>
          <w:highlight w:val="none"/>
        </w:rPr>
      </w:pPr>
    </w:p>
    <w:p w14:paraId="41EEC6E0">
      <w:pPr>
        <w:spacing w:line="360" w:lineRule="exact"/>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报价人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（盖公章）</w:t>
      </w:r>
    </w:p>
    <w:p w14:paraId="6ECB2BFB">
      <w:pPr>
        <w:pStyle w:val="4"/>
        <w:spacing w:line="60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0AD5E1D">
      <w:pPr>
        <w:pStyle w:val="4"/>
        <w:spacing w:line="600" w:lineRule="exact"/>
        <w:ind w:firstLine="0"/>
        <w:jc w:val="center"/>
        <w:rPr>
          <w:rFonts w:hint="eastAsia" w:ascii="宋体" w:hAnsi="宋体" w:eastAsia="宋体" w:cs="宋体"/>
          <w:b/>
          <w:color w:val="auto"/>
          <w:sz w:val="32"/>
          <w:szCs w:val="32"/>
          <w:highlight w:val="none"/>
        </w:rPr>
      </w:pPr>
    </w:p>
    <w:p w14:paraId="5137A8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ZGE2YWY0ZGI0OWQ0M2U1NmFjY2Y0ZDAwYWM0M2UifQ=="/>
  </w:docVars>
  <w:rsids>
    <w:rsidRoot w:val="02A764D7"/>
    <w:rsid w:val="02A7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firstLineChars="200"/>
    </w:pPr>
  </w:style>
  <w:style w:type="paragraph" w:styleId="3">
    <w:name w:val="Body Text Indent"/>
    <w:basedOn w:val="1"/>
    <w:next w:val="1"/>
    <w:qFormat/>
    <w:uiPriority w:val="0"/>
    <w:pPr>
      <w:spacing w:after="120"/>
      <w:ind w:left="420" w:leftChars="200"/>
    </w:pPr>
  </w:style>
  <w:style w:type="paragraph" w:styleId="4">
    <w:name w:val="Normal Indent"/>
    <w:basedOn w:val="1"/>
    <w:next w:val="5"/>
    <w:qFormat/>
    <w:uiPriority w:val="0"/>
    <w:pPr>
      <w:adjustRightInd w:val="0"/>
      <w:spacing w:line="360" w:lineRule="atLeast"/>
      <w:ind w:firstLine="420"/>
      <w:textAlignment w:val="baseline"/>
    </w:pPr>
    <w:rPr>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2025-07-07T08:14:00Z</dcterms:created>
  <dc:creator>柯舒翔</dc:creator>
  <cp:lastModifiedBy>柯舒翔</cp:lastModifiedBy>
  <dcterms:modified xsi:type="dcterms:W3CDTF">2025-07-07T08:23:56Z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D6B1E01CBF8241078662B8A4A002ADB1_11</vt:lpwstr>
  </property>
</Properties>
</file>